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Pr="000B4D47" w:rsidRDefault="00C64B1B" w:rsidP="000B4D4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276"/>
        <w:gridCol w:w="4678"/>
        <w:gridCol w:w="5812"/>
        <w:gridCol w:w="1359"/>
      </w:tblGrid>
      <w:tr w:rsidR="00A06425" w:rsidRPr="000B4D47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B4D47" w:rsidRDefault="00A06425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Fundusze Europejskie dla Rozwoju Społecznego 2021-2027</w:t>
            </w:r>
          </w:p>
        </w:tc>
      </w:tr>
      <w:tr w:rsidR="00A06425" w:rsidRPr="000B4D47" w:rsidTr="00E828D6">
        <w:tc>
          <w:tcPr>
            <w:tcW w:w="562" w:type="dxa"/>
            <w:shd w:val="clear" w:color="auto" w:fill="auto"/>
            <w:vAlign w:val="center"/>
          </w:tcPr>
          <w:p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B4D47" w:rsidRPr="000B4D47" w:rsidTr="00E828D6">
        <w:tc>
          <w:tcPr>
            <w:tcW w:w="562" w:type="dxa"/>
            <w:shd w:val="clear" w:color="auto" w:fill="auto"/>
          </w:tcPr>
          <w:p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29</w:t>
            </w:r>
          </w:p>
        </w:tc>
        <w:tc>
          <w:tcPr>
            <w:tcW w:w="4678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Niepoprawna interpunkcja i fleksja w zdaniu „Znacząco wzrosła również liczba pracowników uczelni wyjeżdżających do uczelni zagranicznych jak i pracowników uczelni zagranicznych przyjeżdżający do uczelni polskich”.</w:t>
            </w:r>
          </w:p>
        </w:tc>
        <w:tc>
          <w:tcPr>
            <w:tcW w:w="5812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„Znacząco wzrosła również liczba pracowników uczelni wyjeżdżających do uczelni zagranicznych, jak i pracowników uczelni zagranicznych przyjeżdżających do uczelni polskich.”</w:t>
            </w:r>
          </w:p>
        </w:tc>
        <w:tc>
          <w:tcPr>
            <w:tcW w:w="1359" w:type="dxa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4D47" w:rsidRPr="000B4D47" w:rsidTr="00E828D6">
        <w:tc>
          <w:tcPr>
            <w:tcW w:w="562" w:type="dxa"/>
            <w:shd w:val="clear" w:color="auto" w:fill="auto"/>
          </w:tcPr>
          <w:p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29</w:t>
            </w:r>
          </w:p>
        </w:tc>
        <w:tc>
          <w:tcPr>
            <w:tcW w:w="4678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Frazeologia:</w:t>
            </w:r>
          </w:p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„Niemniej nadal występują utrudnienia dla większego umiędzynarodowiania szkolnictwa wyższego, takie jak słabość obsługi studentów obcokrajowców i międzynarodowych programów badawczych, a także brak środków finansowych na inicjowanie współpracy i wspólnych projektów”.</w:t>
            </w:r>
          </w:p>
        </w:tc>
        <w:tc>
          <w:tcPr>
            <w:tcW w:w="5812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„Jednak przeszkodą w procesie umiędzynarodowiania szkolnictwa wyższego jest nadal m.in. nieadekwatna dostępność i jakość obsługi studentów zagranicznych oraz międzynarodowych programów badawczych, a także brak środków finansowych na inicjowanie współpracy i wspólnych projektów”.</w:t>
            </w:r>
          </w:p>
        </w:tc>
        <w:tc>
          <w:tcPr>
            <w:tcW w:w="1359" w:type="dxa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4D47" w:rsidRPr="000B4D47" w:rsidTr="00E828D6">
        <w:tc>
          <w:tcPr>
            <w:tcW w:w="562" w:type="dxa"/>
            <w:shd w:val="clear" w:color="auto" w:fill="auto"/>
          </w:tcPr>
          <w:p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29</w:t>
            </w:r>
          </w:p>
        </w:tc>
        <w:tc>
          <w:tcPr>
            <w:tcW w:w="4678" w:type="dxa"/>
            <w:shd w:val="clear" w:color="auto" w:fill="auto"/>
          </w:tcPr>
          <w:p w:rsidR="000B4D47" w:rsidRPr="000B4D47" w:rsidRDefault="00D9324A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Zbędny odstęp oraz</w:t>
            </w:r>
            <w:bookmarkStart w:id="0" w:name="_GoBack"/>
            <w:bookmarkEnd w:id="0"/>
            <w:r w:rsidR="000B4D47" w:rsidRPr="000B4D47">
              <w:rPr>
                <w:rFonts w:asciiTheme="minorHAnsi" w:hAnsiTheme="minorHAnsi" w:cstheme="minorHAnsi"/>
                <w:sz w:val="22"/>
                <w:szCs w:val="22"/>
              </w:rPr>
              <w:t xml:space="preserve"> niepoprawna frazeologia w zdaniu: „Zakres wsparcia w zakresie krótkookresowej mobilności akademickiej kadry dydaktyczno-naukowej będzie miał charakter </w:t>
            </w:r>
            <w:r w:rsidR="000B4D47" w:rsidRPr="000B4D4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komplementarny  dla </w:t>
            </w:r>
            <w:r w:rsidR="000B4D47" w:rsidRPr="000B4D47">
              <w:rPr>
                <w:rFonts w:asciiTheme="minorHAnsi" w:hAnsiTheme="minorHAnsi" w:cstheme="minorHAnsi"/>
                <w:sz w:val="22"/>
                <w:szCs w:val="22"/>
              </w:rPr>
              <w:t>programu Fundusze Europejskie dla Nowoczesnej Gospodarki”.</w:t>
            </w:r>
          </w:p>
        </w:tc>
        <w:tc>
          <w:tcPr>
            <w:tcW w:w="5812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„Zakres wsparcia w zakresie krótkookresowej mobilności akademickiej kadry dydaktyczno-naukowej będzie miał charakter komplementarny wobec programu Fundusze Europejskie dla Nowoczesnej Gospodarki”.</w:t>
            </w:r>
          </w:p>
        </w:tc>
        <w:tc>
          <w:tcPr>
            <w:tcW w:w="1359" w:type="dxa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4D47" w:rsidRPr="000B4D47" w:rsidTr="00E828D6">
        <w:tc>
          <w:tcPr>
            <w:tcW w:w="562" w:type="dxa"/>
            <w:shd w:val="clear" w:color="auto" w:fill="auto"/>
          </w:tcPr>
          <w:p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29</w:t>
            </w:r>
          </w:p>
        </w:tc>
        <w:tc>
          <w:tcPr>
            <w:tcW w:w="4678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Leksyka:</w:t>
            </w:r>
          </w:p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„Demarkacja  zostanie zapewniona na etapie udzielania i w trakcie realizacji wsparcia poprzez weryfikację możliwości wystąpienia podwójnego finansowania”.</w:t>
            </w:r>
          </w:p>
        </w:tc>
        <w:tc>
          <w:tcPr>
            <w:tcW w:w="5812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„W celu wykluczenia możliwości wystąpienia podwójnego finansowania, na etapie udzielania i w trakcie realizacji wsparcia różne jego formy zostaną wyraźnie rozgraniczone”.</w:t>
            </w:r>
          </w:p>
        </w:tc>
        <w:tc>
          <w:tcPr>
            <w:tcW w:w="1359" w:type="dxa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4D47" w:rsidRPr="000B4D47" w:rsidTr="00E828D6">
        <w:tc>
          <w:tcPr>
            <w:tcW w:w="562" w:type="dxa"/>
            <w:shd w:val="clear" w:color="auto" w:fill="auto"/>
          </w:tcPr>
          <w:p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40</w:t>
            </w:r>
          </w:p>
        </w:tc>
        <w:tc>
          <w:tcPr>
            <w:tcW w:w="4678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Niepoprawna fleksja w zdaniu:</w:t>
            </w:r>
          </w:p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 xml:space="preserve">„Ponadto interwencja ukierunkowana zostanie na dostosowanie oferty podmiotów systemu szkolnictwa wyższego do potrzeb rozwoju gospodarki oraz zielonej i cyfrowej transformacji, rozwojowi oferty w zakresie uczenia się osób </w:t>
            </w:r>
            <w:r w:rsidRPr="000B4D4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dorosłych, jak również wsparciu umiędzynarodowienia podmiotów systemu szkolnictwa wyższego i nauki”.</w:t>
            </w:r>
          </w:p>
        </w:tc>
        <w:tc>
          <w:tcPr>
            <w:tcW w:w="5812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„Ponadto interwencja ukierunkowana zostanie na dostosowanie oferty podmiotów systemu szkolnictwa wyższego do potrzeb rozwoju gospodarki oraz zielonej i cyfrowej transformacji, rozwój oferty w zakresie uczenia się osób dorosłych, jak również wsparcie umiędzynarodowienia podmiotów systemu szkolnictwa wyższego i nauki”.</w:t>
            </w:r>
          </w:p>
        </w:tc>
        <w:tc>
          <w:tcPr>
            <w:tcW w:w="1359" w:type="dxa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4D47" w:rsidRPr="000B4D47" w:rsidTr="00E828D6">
        <w:tc>
          <w:tcPr>
            <w:tcW w:w="562" w:type="dxa"/>
            <w:shd w:val="clear" w:color="auto" w:fill="auto"/>
          </w:tcPr>
          <w:p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Wszystkie wystąpienia w dokumencie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n</w:t>
            </w: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p. s. 115</w:t>
            </w:r>
          </w:p>
        </w:tc>
        <w:tc>
          <w:tcPr>
            <w:tcW w:w="4678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Interpunkcja: „Cel szczegółowy f)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niepełnosprawnościami”</w:t>
            </w:r>
          </w:p>
        </w:tc>
        <w:tc>
          <w:tcPr>
            <w:tcW w:w="5812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„Cel szczegółowy f) wspieranie równego dostępu do dobrej jakości włączającego kształcenia i szkoleń oraz możliwości ich ukończenia, w szczególności w odniesieniu do grup w niekorzystnej sytuacji, od wczesnej edukacji i opieki nad dzieckiem, przez ogólne i zawodowe kształcenie i szkolenie, po szkolnictwo wyższe, a także kształcenie i uczenie się dorosłych, w tym ułatwianie mobilności edukacyjnej dla wszystkich i dostępności dla osób z niepełnosprawnościami”</w:t>
            </w:r>
          </w:p>
        </w:tc>
        <w:tc>
          <w:tcPr>
            <w:tcW w:w="1359" w:type="dxa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4D47" w:rsidRPr="000B4D47" w:rsidTr="00E828D6">
        <w:tc>
          <w:tcPr>
            <w:tcW w:w="562" w:type="dxa"/>
            <w:shd w:val="clear" w:color="auto" w:fill="auto"/>
          </w:tcPr>
          <w:p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0B4D47" w:rsidRPr="000B4D47" w:rsidRDefault="000B4D47" w:rsidP="000B4D47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294</w:t>
            </w:r>
          </w:p>
        </w:tc>
        <w:tc>
          <w:tcPr>
            <w:tcW w:w="4678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Brak „w” we fragmencie: „w tym w szczególności zakresie rozwoju świadomości i umiejętności na rzecz „zielonej”</w:t>
            </w:r>
          </w:p>
        </w:tc>
        <w:tc>
          <w:tcPr>
            <w:tcW w:w="5812" w:type="dxa"/>
            <w:shd w:val="clear" w:color="auto" w:fill="auto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„w tym w szczególności w zakresie rozwoju świadomości i umiejętności na rzecz „zielonej””</w:t>
            </w:r>
          </w:p>
        </w:tc>
        <w:tc>
          <w:tcPr>
            <w:tcW w:w="1359" w:type="dxa"/>
          </w:tcPr>
          <w:p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28D6" w:rsidRPr="000B4D47" w:rsidTr="00E828D6">
        <w:tc>
          <w:tcPr>
            <w:tcW w:w="562" w:type="dxa"/>
            <w:shd w:val="clear" w:color="auto" w:fill="auto"/>
          </w:tcPr>
          <w:p w:rsidR="00E828D6" w:rsidRDefault="00E828D6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E828D6" w:rsidRPr="00E828D6" w:rsidRDefault="00E828D6" w:rsidP="000B4D47">
            <w:pPr>
              <w:spacing w:before="60" w:after="6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3 Wskaźniki rezultatu s.108</w:t>
            </w:r>
          </w:p>
        </w:tc>
        <w:tc>
          <w:tcPr>
            <w:tcW w:w="4678" w:type="dxa"/>
            <w:shd w:val="clear" w:color="auto" w:fill="auto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Liczba przedstawicieli kadr JST, którzy podnieśli kompetencje</w:t>
            </w:r>
          </w:p>
        </w:tc>
        <w:tc>
          <w:tcPr>
            <w:tcW w:w="5812" w:type="dxa"/>
            <w:shd w:val="clear" w:color="auto" w:fill="auto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celu końcowego (945) jest niższa niż wartości bazowej (1100).</w:t>
            </w:r>
            <w:r w:rsidR="00BD75F6">
              <w:rPr>
                <w:rFonts w:asciiTheme="minorHAnsi" w:hAnsiTheme="minorHAnsi" w:cstheme="minorHAnsi"/>
                <w:sz w:val="22"/>
                <w:szCs w:val="22"/>
              </w:rPr>
              <w:t xml:space="preserve"> Prosimy o doprecyzowanie źródła wartości bazowej.</w:t>
            </w:r>
          </w:p>
        </w:tc>
        <w:tc>
          <w:tcPr>
            <w:tcW w:w="1359" w:type="dxa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28D6" w:rsidRPr="000B4D47" w:rsidTr="00E828D6">
        <w:tc>
          <w:tcPr>
            <w:tcW w:w="562" w:type="dxa"/>
            <w:shd w:val="clear" w:color="auto" w:fill="auto"/>
          </w:tcPr>
          <w:p w:rsidR="00E828D6" w:rsidRDefault="00E828D6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E828D6" w:rsidRPr="000B4D47" w:rsidRDefault="00E828D6" w:rsidP="000B4D47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Tabela 3 Wskaźniki rezultatu s.108</w:t>
            </w:r>
          </w:p>
        </w:tc>
        <w:tc>
          <w:tcPr>
            <w:tcW w:w="4678" w:type="dxa"/>
            <w:shd w:val="clear" w:color="auto" w:fill="auto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Liczba instytucji i  pracowników systemu oświaty, którzy wdrożyli nowe metody nauczania</w:t>
            </w:r>
          </w:p>
        </w:tc>
        <w:tc>
          <w:tcPr>
            <w:tcW w:w="5812" w:type="dxa"/>
            <w:shd w:val="clear" w:color="auto" w:fill="auto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Wartość celu końcowego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620) jest niższa niż wartości bazowej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866).</w:t>
            </w:r>
            <w:r w:rsidR="00BD75F6">
              <w:t xml:space="preserve"> </w:t>
            </w:r>
            <w:r w:rsidR="00BD75F6" w:rsidRPr="00BD75F6">
              <w:rPr>
                <w:rFonts w:asciiTheme="minorHAnsi" w:hAnsiTheme="minorHAnsi" w:cstheme="minorHAnsi"/>
                <w:sz w:val="22"/>
                <w:szCs w:val="22"/>
              </w:rPr>
              <w:t>Prosimy o doprecyzowanie źródła wartości bazowej.</w:t>
            </w:r>
          </w:p>
        </w:tc>
        <w:tc>
          <w:tcPr>
            <w:tcW w:w="1359" w:type="dxa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28D6" w:rsidRPr="000B4D47" w:rsidTr="00E828D6">
        <w:tc>
          <w:tcPr>
            <w:tcW w:w="562" w:type="dxa"/>
            <w:shd w:val="clear" w:color="auto" w:fill="auto"/>
          </w:tcPr>
          <w:p w:rsidR="00E828D6" w:rsidRDefault="00E828D6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E828D6" w:rsidRPr="000B4D47" w:rsidRDefault="00E828D6" w:rsidP="000B4D47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Tabela 3 Wskaźniki rezultatu s.10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Liczba upowszechnionych e-materiałów</w:t>
            </w:r>
          </w:p>
        </w:tc>
        <w:tc>
          <w:tcPr>
            <w:tcW w:w="5812" w:type="dxa"/>
            <w:shd w:val="clear" w:color="auto" w:fill="auto"/>
          </w:tcPr>
          <w:p w:rsidR="00E828D6" w:rsidRPr="000B4D47" w:rsidRDefault="00E828D6" w:rsidP="00E828D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celu końcowego (1115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 xml:space="preserve">) jest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niższa niż wartości bazowej (7000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  <w:r w:rsidR="00BD75F6">
              <w:t xml:space="preserve"> </w:t>
            </w:r>
            <w:r w:rsidR="00BD75F6" w:rsidRPr="00BD75F6">
              <w:rPr>
                <w:rFonts w:asciiTheme="minorHAnsi" w:hAnsiTheme="minorHAnsi" w:cstheme="minorHAnsi"/>
                <w:sz w:val="22"/>
                <w:szCs w:val="22"/>
              </w:rPr>
              <w:t>Prosimy o doprecyzowanie źródła wartości bazowej.</w:t>
            </w:r>
          </w:p>
        </w:tc>
        <w:tc>
          <w:tcPr>
            <w:tcW w:w="1359" w:type="dxa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28D6" w:rsidRPr="000B4D47" w:rsidTr="00E828D6">
        <w:tc>
          <w:tcPr>
            <w:tcW w:w="562" w:type="dxa"/>
            <w:shd w:val="clear" w:color="auto" w:fill="auto"/>
          </w:tcPr>
          <w:p w:rsidR="00E828D6" w:rsidRDefault="00E828D6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E828D6" w:rsidRPr="000B4D47" w:rsidRDefault="00E828D6" w:rsidP="000B4D47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abela 3 Wskaźniki rezultatu s.110</w:t>
            </w:r>
          </w:p>
        </w:tc>
        <w:tc>
          <w:tcPr>
            <w:tcW w:w="4678" w:type="dxa"/>
            <w:shd w:val="clear" w:color="auto" w:fill="auto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Liczba zawodów dla których upowszechniono materiały multimedialne dla doradztwa zawodowego</w:t>
            </w:r>
          </w:p>
        </w:tc>
        <w:tc>
          <w:tcPr>
            <w:tcW w:w="5812" w:type="dxa"/>
            <w:shd w:val="clear" w:color="auto" w:fill="auto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celu końcowego (100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) jest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iższa niż wartości bazowej (120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  <w:r w:rsidR="00BD75F6">
              <w:t xml:space="preserve"> </w:t>
            </w:r>
            <w:r w:rsidR="00BD75F6" w:rsidRPr="00BD75F6">
              <w:rPr>
                <w:rFonts w:asciiTheme="minorHAnsi" w:hAnsiTheme="minorHAnsi" w:cstheme="minorHAnsi"/>
                <w:sz w:val="22"/>
                <w:szCs w:val="22"/>
              </w:rPr>
              <w:t>Prosimy o doprecyzowanie źródła wartości bazowej.</w:t>
            </w:r>
          </w:p>
        </w:tc>
        <w:tc>
          <w:tcPr>
            <w:tcW w:w="1359" w:type="dxa"/>
          </w:tcPr>
          <w:p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Pr="000B4D47" w:rsidRDefault="00C64B1B" w:rsidP="000B4D47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C64B1B" w:rsidRPr="000B4D47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B4D47"/>
    <w:rsid w:val="00140BE8"/>
    <w:rsid w:val="0019648E"/>
    <w:rsid w:val="002715B2"/>
    <w:rsid w:val="003124D1"/>
    <w:rsid w:val="00376E9D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BD75F6"/>
    <w:rsid w:val="00C64B1B"/>
    <w:rsid w:val="00CD5EB0"/>
    <w:rsid w:val="00D9324A"/>
    <w:rsid w:val="00E14C33"/>
    <w:rsid w:val="00E8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2C4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Wasilewska Agnieszka</cp:lastModifiedBy>
  <cp:revision>6</cp:revision>
  <dcterms:created xsi:type="dcterms:W3CDTF">2020-05-20T09:55:00Z</dcterms:created>
  <dcterms:modified xsi:type="dcterms:W3CDTF">2022-02-10T09:08:00Z</dcterms:modified>
</cp:coreProperties>
</file>